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采购需求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1、采购项目数量、概况：</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学校二期学生公寓A栋共2幢单体（A1、A2)，每幢6层，每层两台洗衣机，共计24台，需按招标方指定的地点和位置，由中标人免费安装洗衣机及相关的计量仪器。为方便和让利给学生，招标方只收取投标人的水电费用（水费2.5元/吨；电1元/度），中标单位必须按双方约定时间（按季度支付）足额及时地向询价单位交纳水电费用。学校使用人数约1650人。</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2、服务价格上限要求：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服务价格金额表，投标单位服务价格须在此单价之内：</w:t>
      </w:r>
    </w:p>
    <w:tbl>
      <w:tblPr>
        <w:tblStyle w:val="6"/>
        <w:tblW w:w="0" w:type="auto"/>
        <w:jc w:val="center"/>
        <w:tblLayout w:type="autofit"/>
        <w:tblCellMar>
          <w:top w:w="0" w:type="dxa"/>
          <w:left w:w="0" w:type="dxa"/>
          <w:bottom w:w="0" w:type="dxa"/>
          <w:right w:w="0" w:type="dxa"/>
        </w:tblCellMar>
      </w:tblPr>
      <w:tblGrid>
        <w:gridCol w:w="960"/>
        <w:gridCol w:w="1980"/>
        <w:gridCol w:w="2550"/>
      </w:tblGrid>
      <w:tr>
        <w:tblPrEx>
          <w:tblCellMar>
            <w:top w:w="0" w:type="dxa"/>
            <w:left w:w="0" w:type="dxa"/>
            <w:bottom w:w="0" w:type="dxa"/>
            <w:right w:w="0" w:type="dxa"/>
          </w:tblCellMar>
        </w:tblPrEx>
        <w:trPr>
          <w:jc w:val="center"/>
        </w:trPr>
        <w:tc>
          <w:tcPr>
            <w:tcW w:w="960"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序号</w:t>
            </w:r>
          </w:p>
        </w:tc>
        <w:tc>
          <w:tcPr>
            <w:tcW w:w="1980" w:type="dxa"/>
            <w:tcBorders>
              <w:top w:val="single" w:color="000000" w:sz="6" w:space="0"/>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服务内容</w:t>
            </w:r>
          </w:p>
        </w:tc>
        <w:tc>
          <w:tcPr>
            <w:tcW w:w="2550" w:type="dxa"/>
            <w:tcBorders>
              <w:top w:val="single" w:color="000000" w:sz="6" w:space="0"/>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控制价格</w:t>
            </w:r>
          </w:p>
        </w:tc>
      </w:tr>
      <w:tr>
        <w:tblPrEx>
          <w:tblCellMar>
            <w:top w:w="0" w:type="dxa"/>
            <w:left w:w="0" w:type="dxa"/>
            <w:bottom w:w="0" w:type="dxa"/>
            <w:right w:w="0" w:type="dxa"/>
          </w:tblCellMar>
        </w:tblPrEx>
        <w:trPr>
          <w:jc w:val="center"/>
        </w:trPr>
        <w:tc>
          <w:tcPr>
            <w:tcW w:w="960" w:type="dxa"/>
            <w:tcBorders>
              <w:top w:val="nil"/>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1</w:t>
            </w:r>
          </w:p>
        </w:tc>
        <w:tc>
          <w:tcPr>
            <w:tcW w:w="198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脱水</w:t>
            </w:r>
          </w:p>
        </w:tc>
        <w:tc>
          <w:tcPr>
            <w:tcW w:w="255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2元/次</w:t>
            </w:r>
          </w:p>
        </w:tc>
      </w:tr>
      <w:tr>
        <w:tblPrEx>
          <w:tblCellMar>
            <w:top w:w="0" w:type="dxa"/>
            <w:left w:w="0" w:type="dxa"/>
            <w:bottom w:w="0" w:type="dxa"/>
            <w:right w:w="0" w:type="dxa"/>
          </w:tblCellMar>
        </w:tblPrEx>
        <w:trPr>
          <w:jc w:val="center"/>
        </w:trPr>
        <w:tc>
          <w:tcPr>
            <w:tcW w:w="960" w:type="dxa"/>
            <w:tcBorders>
              <w:top w:val="nil"/>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2</w:t>
            </w:r>
          </w:p>
        </w:tc>
        <w:tc>
          <w:tcPr>
            <w:tcW w:w="198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快洗</w:t>
            </w:r>
          </w:p>
        </w:tc>
        <w:tc>
          <w:tcPr>
            <w:tcW w:w="255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3元/次</w:t>
            </w:r>
          </w:p>
        </w:tc>
      </w:tr>
      <w:tr>
        <w:tblPrEx>
          <w:tblCellMar>
            <w:top w:w="0" w:type="dxa"/>
            <w:left w:w="0" w:type="dxa"/>
            <w:bottom w:w="0" w:type="dxa"/>
            <w:right w:w="0" w:type="dxa"/>
          </w:tblCellMar>
        </w:tblPrEx>
        <w:trPr>
          <w:jc w:val="center"/>
        </w:trPr>
        <w:tc>
          <w:tcPr>
            <w:tcW w:w="960" w:type="dxa"/>
            <w:tcBorders>
              <w:top w:val="nil"/>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3</w:t>
            </w:r>
          </w:p>
        </w:tc>
        <w:tc>
          <w:tcPr>
            <w:tcW w:w="198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标准洗</w:t>
            </w:r>
          </w:p>
        </w:tc>
        <w:tc>
          <w:tcPr>
            <w:tcW w:w="255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4元/次</w:t>
            </w:r>
          </w:p>
        </w:tc>
      </w:tr>
      <w:tr>
        <w:tblPrEx>
          <w:tblCellMar>
            <w:top w:w="0" w:type="dxa"/>
            <w:left w:w="0" w:type="dxa"/>
            <w:bottom w:w="0" w:type="dxa"/>
            <w:right w:w="0" w:type="dxa"/>
          </w:tblCellMar>
        </w:tblPrEx>
        <w:trPr>
          <w:jc w:val="center"/>
        </w:trPr>
        <w:tc>
          <w:tcPr>
            <w:tcW w:w="960" w:type="dxa"/>
            <w:tcBorders>
              <w:top w:val="nil"/>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4</w:t>
            </w:r>
          </w:p>
        </w:tc>
        <w:tc>
          <w:tcPr>
            <w:tcW w:w="198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大件洗</w:t>
            </w:r>
          </w:p>
        </w:tc>
        <w:tc>
          <w:tcPr>
            <w:tcW w:w="255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5元/次</w:t>
            </w:r>
          </w:p>
        </w:tc>
      </w:tr>
    </w:tbl>
    <w:p>
      <w:pPr>
        <w:spacing w:line="500" w:lineRule="exact"/>
        <w:ind w:firstLine="480" w:firstLineChars="200"/>
        <w:rPr>
          <w:rFonts w:hint="default" w:ascii="宋体" w:hAnsi="宋体" w:eastAsia="宋体" w:cs="宋体"/>
          <w:color w:val="auto"/>
          <w:sz w:val="24"/>
          <w:szCs w:val="24"/>
          <w:lang w:val="en-US" w:eastAsia="zh-CN"/>
        </w:rPr>
      </w:pPr>
      <w:r>
        <w:rPr>
          <w:rFonts w:hint="eastAsia" w:ascii="宋体" w:hAnsi="宋体" w:eastAsia="宋体" w:cs="宋体"/>
          <w:b w:val="0"/>
          <w:bCs/>
          <w:color w:val="auto"/>
          <w:kern w:val="0"/>
          <w:sz w:val="24"/>
          <w:szCs w:val="24"/>
          <w:lang w:val="en-US" w:eastAsia="zh-CN"/>
        </w:rPr>
        <w:t xml:space="preserve">   </w:t>
      </w:r>
      <w:r>
        <w:rPr>
          <w:rFonts w:hint="eastAsia" w:ascii="宋体" w:hAnsi="宋体" w:eastAsia="宋体" w:cs="宋体"/>
          <w:color w:val="auto"/>
          <w:sz w:val="24"/>
          <w:szCs w:val="24"/>
          <w:lang w:val="en-US" w:eastAsia="zh-CN"/>
        </w:rPr>
        <w:t xml:space="preserve">注：投标单位投标报价高于单价为无效报价。           </w:t>
      </w:r>
    </w:p>
    <w:p>
      <w:pPr>
        <w:numPr>
          <w:ilvl w:val="0"/>
          <w:numId w:val="1"/>
        </w:numPr>
        <w:spacing w:line="500" w:lineRule="exact"/>
        <w:ind w:firstLine="480" w:firstLineChars="200"/>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供货期限：合同签字后中标单位将相关设备在15天内安装调试完毕。</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4、服务期限：三年。</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5、采购项目服务要求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1、投标人要求：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需提供2022年以来（自助洗衣服务）的高校案例合同及提供2021年或2022年的财务审计报表。投标人需具有ISO9001质量管理体系认证证书。</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2、洗衣设备要求：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洗衣机具备2级及以上能效，商业型滚筒式洗衣机，设备容量达到5公斤及以上，通过国家3C强制认证，洗衣机具备剩余时间显示、洗完自动提醒、桶自洁、远程故障报警及处理功能、断电记忆，自带消毒功能：消毒功能完备、可靠，除菌率大于90%以上。所有设备应具备预约功能，融入学校一卡通项目，可实现网上支付、网上监控工作状态、网上提醒等功能。供应商对本项目设备铺装建设方案、安装调试方案具备完整性、合理性、安全性、科学性。投标的洗衣机具备厂家针对本项目的质保函。</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3、设备售后服务要求：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中标单位至少每半个月清洁、消毒、设备维护一次；在此过程中水电及机器安全均由中标单位承担，由此产生的事故造成的损失和责任也均由中标单位全部承担。运营服务方案合理，具有避免交叉感染、卫生打扫、消毒处理、投诉处理、售后等服务方案，具有五星级售后服务认证证书。</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设施、设备安装、调试后必须在现场张贴设备使用说明，以保证学生能正确使用各项设施设备。商家服务咨询人员提供7*24小时咨询服务。</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4、人员配置：</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为保证项目的整体实施科学合理，投标人针对本次项目的负责人具备相应资质及经验；</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5、合同签字后中标单位将相关设备在15天内安装调试完毕。</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6、中标单位必须按卫生、质监、工商等部门要求依法经营，经营场所内杜绝各项违规经营。中标单位负责经营过程中的所有相关管理工作，承担经营管理责任。</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中标单位应定价合理并保持价格稳定，随时接受上级卫生监督部门、物价部门、质检部门及工商部门的检查，接受并遵守学校相关职能部门对服务质量、经营等方面的监督管理和检查考核工作。如因自助洗衣机未及时消毒清理干净而引起的疾病所带来的后果和损失由中标单位承担，学校不承担连带责任。</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中标单位负责洗衣服务相关设施设备的消防、安全、保卫等工作，服务消防安全检查，确保洗衣房和自助洗衣设备消防安全达标并积极配合甲方做好洗衣房的安全保卫工作，如在经营过程中发生消防安全事故，由中标单位承担安全责任，学校不承连带责任。</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9、中标单位按照合同约定的时间期限完成设备装调，保证所有设备正常使用。</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10、中标单位必须自主经营，不得将业务转包，投标的洗衣机具备厂家针对本项目的授权如出现以上问题，学校有权终止合同。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44D6DC"/>
    <w:multiLevelType w:val="singleLevel"/>
    <w:tmpl w:val="7844D6DC"/>
    <w:lvl w:ilvl="0" w:tentative="0">
      <w:start w:val="3"/>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